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3D" w:rsidRDefault="005347CE" w:rsidP="005347CE">
      <w:pPr>
        <w:jc w:val="center"/>
      </w:pPr>
      <w:r>
        <w:rPr>
          <w:noProof/>
          <w:lang w:eastAsia="es-AR"/>
        </w:rPr>
        <w:drawing>
          <wp:inline distT="0" distB="0" distL="0" distR="0" wp14:anchorId="614CECB7" wp14:editId="36A316C1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347CE" w:rsidRDefault="005347CE"/>
    <w:p w:rsidR="005347CE" w:rsidRDefault="005347CE" w:rsidP="005347CE">
      <w:pPr>
        <w:jc w:val="center"/>
      </w:pPr>
      <w:r>
        <w:rPr>
          <w:noProof/>
          <w:lang w:eastAsia="es-AR"/>
        </w:rPr>
        <w:drawing>
          <wp:inline distT="0" distB="0" distL="0" distR="0" wp14:anchorId="6DBE00C8" wp14:editId="466C93D9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347CE" w:rsidRDefault="005347CE"/>
    <w:p w:rsidR="005347CE" w:rsidRDefault="005347CE" w:rsidP="005347CE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0D132572" wp14:editId="6479756F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47CE" w:rsidRDefault="005347CE"/>
    <w:p w:rsidR="005347CE" w:rsidRDefault="005347CE" w:rsidP="005347CE">
      <w:pPr>
        <w:jc w:val="center"/>
      </w:pPr>
      <w:r>
        <w:rPr>
          <w:noProof/>
          <w:lang w:eastAsia="es-AR"/>
        </w:rPr>
        <w:drawing>
          <wp:inline distT="0" distB="0" distL="0" distR="0" wp14:anchorId="17EBDD6D" wp14:editId="12064C2C">
            <wp:extent cx="4572000" cy="2743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5347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CE"/>
    <w:rsid w:val="00171B3D"/>
    <w:rsid w:val="0053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es-AR" sz="1200"/>
              <a:t>Figura 1: Utilidad</a:t>
            </a:r>
            <a:r>
              <a:rPr lang="es-AR" sz="1200" baseline="0"/>
              <a:t> de los contenidos abordados para la interpretación de artículos científicos</a:t>
            </a:r>
            <a:endParaRPr lang="es-AR" sz="1200"/>
          </a:p>
        </c:rich>
      </c:tx>
      <c:layout>
        <c:manualLayout>
          <c:xMode val="edge"/>
          <c:yMode val="edge"/>
          <c:x val="0.14225699912510936"/>
          <c:y val="3.7037037037037035E-2"/>
        </c:manualLayout>
      </c:layout>
      <c:overlay val="0"/>
    </c:title>
    <c:autoTitleDeleted val="0"/>
    <c:plotArea>
      <c:layout/>
      <c:pieChart>
        <c:varyColors val="1"/>
        <c:ser>
          <c:idx val="1"/>
          <c:order val="1"/>
          <c:dPt>
            <c:idx val="0"/>
            <c:bubble3D val="0"/>
            <c:spPr>
              <a:solidFill>
                <a:schemeClr val="accent2">
                  <a:lumMod val="50000"/>
                </a:schemeClr>
              </a:solidFill>
            </c:spPr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Hoja1!$A$1:$A$3</c:f>
              <c:strCache>
                <c:ptCount val="3"/>
                <c:pt idx="0">
                  <c:v>Suficientemente útiles</c:v>
                </c:pt>
                <c:pt idx="1">
                  <c:v>Escasamente útiles</c:v>
                </c:pt>
                <c:pt idx="2">
                  <c:v>Totalmente útiles</c:v>
                </c:pt>
              </c:strCache>
            </c:strRef>
          </c:cat>
          <c:val>
            <c:numRef>
              <c:f>Hoja1!$B$1:$B$3</c:f>
              <c:numCache>
                <c:formatCode>0%</c:formatCode>
                <c:ptCount val="3"/>
                <c:pt idx="0">
                  <c:v>0.6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ser>
          <c:idx val="0"/>
          <c:order val="0"/>
          <c:dPt>
            <c:idx val="0"/>
            <c:bubble3D val="0"/>
            <c:spPr>
              <a:solidFill>
                <a:schemeClr val="accent2">
                  <a:lumMod val="50000"/>
                </a:schemeClr>
              </a:solidFill>
            </c:spPr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Hoja1!$A$1:$A$3</c:f>
              <c:strCache>
                <c:ptCount val="3"/>
                <c:pt idx="0">
                  <c:v>Suficientemente útiles</c:v>
                </c:pt>
                <c:pt idx="1">
                  <c:v>Escasamente útiles</c:v>
                </c:pt>
                <c:pt idx="2">
                  <c:v>Totalmente útiles</c:v>
                </c:pt>
              </c:strCache>
            </c:strRef>
          </c:cat>
          <c:val>
            <c:numRef>
              <c:f>Hoja1!$B$1:$B$3</c:f>
              <c:numCache>
                <c:formatCode>0%</c:formatCode>
                <c:ptCount val="3"/>
                <c:pt idx="0">
                  <c:v>0.6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AR" sz="1200"/>
              <a:t>Figura 2: Utilidad de guías orientadoras</a:t>
            </a:r>
            <a:r>
              <a:rPr lang="es-AR" sz="1200" baseline="0"/>
              <a:t> para analizar los artículos científicos</a:t>
            </a:r>
            <a:endParaRPr lang="es-AR" sz="1200"/>
          </a:p>
        </c:rich>
      </c:tx>
      <c:layout>
        <c:manualLayout>
          <c:xMode val="edge"/>
          <c:yMode val="edge"/>
          <c:x val="0.14225699912510936"/>
          <c:y val="4.1666666666666664E-2"/>
        </c:manualLayout>
      </c:layout>
      <c:overlay val="0"/>
    </c:title>
    <c:autoTitleDeleted val="0"/>
    <c:plotArea>
      <c:layout/>
      <c:pieChart>
        <c:varyColors val="1"/>
        <c:ser>
          <c:idx val="1"/>
          <c:order val="1"/>
          <c:dPt>
            <c:idx val="0"/>
            <c:bubble3D val="0"/>
            <c:spPr>
              <a:solidFill>
                <a:schemeClr val="accent2">
                  <a:lumMod val="50000"/>
                </a:schemeClr>
              </a:solidFill>
            </c:spPr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Hoja1!$A$1:$A$3</c:f>
              <c:strCache>
                <c:ptCount val="3"/>
                <c:pt idx="0">
                  <c:v>Suficientemente útiles</c:v>
                </c:pt>
                <c:pt idx="1">
                  <c:v>Escasamente útiles</c:v>
                </c:pt>
                <c:pt idx="2">
                  <c:v>Totalmente útiles</c:v>
                </c:pt>
              </c:strCache>
            </c:strRef>
          </c:cat>
          <c:val>
            <c:numRef>
              <c:f>Hoja1!$B$1:$B$3</c:f>
              <c:numCache>
                <c:formatCode>0%</c:formatCode>
                <c:ptCount val="3"/>
                <c:pt idx="0">
                  <c:v>0.6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ser>
          <c:idx val="0"/>
          <c:order val="0"/>
          <c:dPt>
            <c:idx val="0"/>
            <c:bubble3D val="0"/>
            <c:spPr>
              <a:solidFill>
                <a:schemeClr val="accent2">
                  <a:lumMod val="50000"/>
                </a:schemeClr>
              </a:solidFill>
            </c:spPr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Hoja1!$A$1:$A$3</c:f>
              <c:strCache>
                <c:ptCount val="3"/>
                <c:pt idx="0">
                  <c:v>Suficientemente útiles</c:v>
                </c:pt>
                <c:pt idx="1">
                  <c:v>Escasamente útiles</c:v>
                </c:pt>
                <c:pt idx="2">
                  <c:v>Totalmente útiles</c:v>
                </c:pt>
              </c:strCache>
            </c:strRef>
          </c:cat>
          <c:val>
            <c:numRef>
              <c:f>Hoja1!$B$1:$B$3</c:f>
              <c:numCache>
                <c:formatCode>0%</c:formatCode>
                <c:ptCount val="3"/>
                <c:pt idx="0">
                  <c:v>0.6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AR" sz="1200"/>
              <a:t>Figura 3: Utilidad</a:t>
            </a:r>
            <a:r>
              <a:rPr lang="es-AR" sz="1200" baseline="0"/>
              <a:t> de las herramientas proporcionadas para la organización de la información de los artículos científicos</a:t>
            </a:r>
            <a:endParaRPr lang="es-AR" sz="1200"/>
          </a:p>
        </c:rich>
      </c:tx>
      <c:layout>
        <c:manualLayout>
          <c:xMode val="edge"/>
          <c:yMode val="edge"/>
          <c:x val="0.14515966754155732"/>
          <c:y val="2.314814814814814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lumMod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Hoja1!$A$19:$A$21</c:f>
              <c:strCache>
                <c:ptCount val="3"/>
                <c:pt idx="0">
                  <c:v>Suficientemente útiles</c:v>
                </c:pt>
                <c:pt idx="1">
                  <c:v>Escasamente útiles</c:v>
                </c:pt>
                <c:pt idx="2">
                  <c:v>Totalmente útiles</c:v>
                </c:pt>
              </c:strCache>
            </c:strRef>
          </c:cat>
          <c:val>
            <c:numRef>
              <c:f>Hoja1!$B$19:$B$21</c:f>
              <c:numCache>
                <c:formatCode>0%</c:formatCode>
                <c:ptCount val="3"/>
                <c:pt idx="0">
                  <c:v>0.2</c:v>
                </c:pt>
                <c:pt idx="1">
                  <c:v>0.2</c:v>
                </c:pt>
                <c:pt idx="2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 rtl="0">
            <a:defRPr/>
          </a:pPr>
          <a:endParaRPr lang="es-AR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AR" sz="1200"/>
              <a:t>Figura 4: Utilidad</a:t>
            </a:r>
            <a:r>
              <a:rPr lang="es-AR" sz="1200" baseline="0"/>
              <a:t> de las prácticas de lectoescritura para la presentación de los artículos científicos</a:t>
            </a:r>
            <a:endParaRPr lang="es-AR" sz="1200"/>
          </a:p>
        </c:rich>
      </c:tx>
      <c:layout>
        <c:manualLayout>
          <c:xMode val="edge"/>
          <c:yMode val="edge"/>
          <c:x val="0.14515966754155732"/>
          <c:y val="2.314814814814814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lumMod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Hoja1!$A$19:$A$21</c:f>
              <c:strCache>
                <c:ptCount val="3"/>
                <c:pt idx="0">
                  <c:v>Suficientemente útiles</c:v>
                </c:pt>
                <c:pt idx="1">
                  <c:v>Escasamente útiles</c:v>
                </c:pt>
                <c:pt idx="2">
                  <c:v>Totalmente útiles</c:v>
                </c:pt>
              </c:strCache>
            </c:strRef>
          </c:cat>
          <c:val>
            <c:numRef>
              <c:f>Hoja1!$B$19:$B$21</c:f>
              <c:numCache>
                <c:formatCode>0%</c:formatCode>
                <c:ptCount val="3"/>
                <c:pt idx="0">
                  <c:v>0.2</c:v>
                </c:pt>
                <c:pt idx="1">
                  <c:v>0.2</c:v>
                </c:pt>
                <c:pt idx="2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2014-10-06T17:47:00Z</dcterms:created>
  <dcterms:modified xsi:type="dcterms:W3CDTF">2014-10-06T17:55:00Z</dcterms:modified>
</cp:coreProperties>
</file>