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60" w:rsidRPr="00CF50DC" w:rsidRDefault="007F1960" w:rsidP="00CF50DC">
      <w:pPr>
        <w:spacing w:before="120" w:after="12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CF50DC">
        <w:rPr>
          <w:rFonts w:ascii="Verdana" w:hAnsi="Verdana" w:cs="Arial"/>
          <w:b/>
          <w:sz w:val="20"/>
          <w:szCs w:val="20"/>
        </w:rPr>
        <w:t>Cuadro 1. Altura y ancho de las crestas epiteliales de la mucosa bucal según clasificación de la displasia.</w:t>
      </w:r>
    </w:p>
    <w:tbl>
      <w:tblPr>
        <w:tblW w:w="7960" w:type="dxa"/>
        <w:jc w:val="center"/>
        <w:tblLook w:val="0020" w:firstRow="1" w:lastRow="0" w:firstColumn="0" w:lastColumn="0" w:noHBand="0" w:noVBand="0"/>
      </w:tblPr>
      <w:tblGrid>
        <w:gridCol w:w="2578"/>
        <w:gridCol w:w="1323"/>
        <w:gridCol w:w="1463"/>
        <w:gridCol w:w="1323"/>
        <w:gridCol w:w="1273"/>
      </w:tblGrid>
      <w:tr w:rsidR="007F1960" w:rsidRPr="00CF50DC" w:rsidTr="006725AA">
        <w:trPr>
          <w:trHeight w:val="129"/>
          <w:jc w:val="center"/>
        </w:trPr>
        <w:tc>
          <w:tcPr>
            <w:tcW w:w="2578" w:type="dxa"/>
            <w:vMerge w:val="restart"/>
            <w:tcBorders>
              <w:top w:val="single" w:sz="18" w:space="0" w:color="008000"/>
            </w:tcBorders>
            <w:shd w:val="clear" w:color="auto" w:fill="auto"/>
            <w:noWrap/>
            <w:vAlign w:val="center"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b/>
                <w:sz w:val="20"/>
                <w:szCs w:val="20"/>
              </w:rPr>
              <w:t>Intensidad de la lesión</w:t>
            </w:r>
          </w:p>
        </w:tc>
        <w:tc>
          <w:tcPr>
            <w:tcW w:w="5382" w:type="dxa"/>
            <w:gridSpan w:val="4"/>
            <w:tcBorders>
              <w:top w:val="single" w:sz="18" w:space="0" w:color="008000"/>
              <w:bottom w:val="single" w:sz="4" w:space="0" w:color="auto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F50DC">
              <w:rPr>
                <w:rFonts w:ascii="Verdana" w:hAnsi="Verdana" w:cs="Arial"/>
                <w:b/>
                <w:sz w:val="20"/>
                <w:szCs w:val="20"/>
              </w:rPr>
              <w:t>Crestas epiteliales</w:t>
            </w:r>
          </w:p>
        </w:tc>
      </w:tr>
      <w:tr w:rsidR="007F1960" w:rsidRPr="00CF50DC" w:rsidTr="006725AA">
        <w:trPr>
          <w:trHeight w:val="129"/>
          <w:jc w:val="center"/>
        </w:trPr>
        <w:tc>
          <w:tcPr>
            <w:tcW w:w="2578" w:type="dxa"/>
            <w:vMerge/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F50DC">
              <w:rPr>
                <w:rFonts w:ascii="Verdana" w:hAnsi="Verdana" w:cs="Arial"/>
                <w:b/>
                <w:sz w:val="20"/>
                <w:szCs w:val="20"/>
              </w:rPr>
              <w:t>Altura (µm)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bottom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F50DC">
              <w:rPr>
                <w:rFonts w:ascii="Verdana" w:hAnsi="Verdana" w:cs="Arial"/>
                <w:b/>
                <w:sz w:val="20"/>
                <w:szCs w:val="20"/>
              </w:rPr>
              <w:t>Ancho (µm)</w:t>
            </w:r>
          </w:p>
        </w:tc>
      </w:tr>
      <w:tr w:rsidR="007F1960" w:rsidRPr="00CF50DC" w:rsidTr="006725AA">
        <w:trPr>
          <w:trHeight w:val="129"/>
          <w:jc w:val="center"/>
        </w:trPr>
        <w:tc>
          <w:tcPr>
            <w:tcW w:w="2578" w:type="dxa"/>
            <w:vMerge/>
            <w:tcBorders>
              <w:bottom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8000"/>
              <w:bottom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F50DC">
              <w:rPr>
                <w:rFonts w:ascii="Verdana" w:hAnsi="Verdana" w:cs="Arial"/>
                <w:b/>
                <w:sz w:val="20"/>
                <w:szCs w:val="20"/>
              </w:rPr>
              <w:t>Promedio</w:t>
            </w:r>
          </w:p>
        </w:tc>
        <w:tc>
          <w:tcPr>
            <w:tcW w:w="1463" w:type="dxa"/>
            <w:tcBorders>
              <w:top w:val="single" w:sz="4" w:space="0" w:color="008000"/>
              <w:bottom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CF50DC">
              <w:rPr>
                <w:rFonts w:ascii="Verdana" w:hAnsi="Verdana" w:cs="Arial"/>
                <w:b/>
                <w:sz w:val="20"/>
                <w:szCs w:val="20"/>
              </w:rPr>
              <w:t>Desv</w:t>
            </w:r>
            <w:proofErr w:type="spellEnd"/>
            <w:r w:rsidRPr="00CF50DC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CF50DC">
              <w:rPr>
                <w:rFonts w:ascii="Verdana" w:hAnsi="Verdana" w:cs="Arial"/>
                <w:b/>
                <w:sz w:val="20"/>
                <w:szCs w:val="20"/>
              </w:rPr>
              <w:t>est</w:t>
            </w:r>
            <w:proofErr w:type="spellEnd"/>
          </w:p>
        </w:tc>
        <w:tc>
          <w:tcPr>
            <w:tcW w:w="1323" w:type="dxa"/>
            <w:tcBorders>
              <w:top w:val="single" w:sz="4" w:space="0" w:color="008000"/>
              <w:bottom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F50DC">
              <w:rPr>
                <w:rFonts w:ascii="Verdana" w:hAnsi="Verdana" w:cs="Arial"/>
                <w:b/>
                <w:sz w:val="20"/>
                <w:szCs w:val="20"/>
              </w:rPr>
              <w:t>Promedio</w:t>
            </w:r>
          </w:p>
        </w:tc>
        <w:tc>
          <w:tcPr>
            <w:tcW w:w="1273" w:type="dxa"/>
            <w:tcBorders>
              <w:top w:val="single" w:sz="4" w:space="0" w:color="008000"/>
              <w:bottom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CF50DC">
              <w:rPr>
                <w:rFonts w:ascii="Verdana" w:hAnsi="Verdana" w:cs="Arial"/>
                <w:b/>
                <w:sz w:val="20"/>
                <w:szCs w:val="20"/>
              </w:rPr>
              <w:t>Desv</w:t>
            </w:r>
            <w:proofErr w:type="spellEnd"/>
            <w:r w:rsidRPr="00CF50DC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CF50DC">
              <w:rPr>
                <w:rFonts w:ascii="Verdana" w:hAnsi="Verdana" w:cs="Arial"/>
                <w:b/>
                <w:sz w:val="20"/>
                <w:szCs w:val="20"/>
              </w:rPr>
              <w:t>est</w:t>
            </w:r>
            <w:proofErr w:type="spellEnd"/>
          </w:p>
        </w:tc>
      </w:tr>
      <w:tr w:rsidR="007F1960" w:rsidRPr="00CF50DC" w:rsidTr="006725AA">
        <w:trPr>
          <w:trHeight w:val="129"/>
          <w:jc w:val="center"/>
        </w:trPr>
        <w:tc>
          <w:tcPr>
            <w:tcW w:w="2578" w:type="dxa"/>
            <w:tcBorders>
              <w:top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Ligera</w:t>
            </w:r>
          </w:p>
        </w:tc>
        <w:tc>
          <w:tcPr>
            <w:tcW w:w="1323" w:type="dxa"/>
            <w:tcBorders>
              <w:top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239,87</w:t>
            </w:r>
          </w:p>
        </w:tc>
        <w:tc>
          <w:tcPr>
            <w:tcW w:w="1463" w:type="dxa"/>
            <w:tcBorders>
              <w:top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136,91</w:t>
            </w:r>
          </w:p>
        </w:tc>
        <w:tc>
          <w:tcPr>
            <w:tcW w:w="1323" w:type="dxa"/>
            <w:tcBorders>
              <w:top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151,00</w:t>
            </w:r>
          </w:p>
        </w:tc>
        <w:tc>
          <w:tcPr>
            <w:tcW w:w="1273" w:type="dxa"/>
            <w:tcBorders>
              <w:top w:val="single" w:sz="4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83,99</w:t>
            </w:r>
          </w:p>
        </w:tc>
      </w:tr>
      <w:tr w:rsidR="007F1960" w:rsidRPr="00CF50DC" w:rsidTr="006725AA">
        <w:trPr>
          <w:trHeight w:val="129"/>
          <w:jc w:val="center"/>
        </w:trPr>
        <w:tc>
          <w:tcPr>
            <w:tcW w:w="2578" w:type="dxa"/>
            <w:tcBorders>
              <w:bottom w:val="nil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Moderada</w:t>
            </w:r>
          </w:p>
        </w:tc>
        <w:tc>
          <w:tcPr>
            <w:tcW w:w="1323" w:type="dxa"/>
            <w:tcBorders>
              <w:bottom w:val="nil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428,53</w:t>
            </w:r>
          </w:p>
        </w:tc>
        <w:tc>
          <w:tcPr>
            <w:tcW w:w="1463" w:type="dxa"/>
            <w:tcBorders>
              <w:bottom w:val="nil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240,66</w:t>
            </w:r>
          </w:p>
        </w:tc>
        <w:tc>
          <w:tcPr>
            <w:tcW w:w="1323" w:type="dxa"/>
            <w:tcBorders>
              <w:bottom w:val="nil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181,79</w:t>
            </w:r>
          </w:p>
        </w:tc>
        <w:tc>
          <w:tcPr>
            <w:tcW w:w="1273" w:type="dxa"/>
            <w:tcBorders>
              <w:bottom w:val="nil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82,20</w:t>
            </w:r>
          </w:p>
        </w:tc>
      </w:tr>
      <w:tr w:rsidR="007F1960" w:rsidRPr="00CF50DC" w:rsidTr="006725AA">
        <w:trPr>
          <w:trHeight w:val="129"/>
          <w:jc w:val="center"/>
        </w:trPr>
        <w:tc>
          <w:tcPr>
            <w:tcW w:w="2578" w:type="dxa"/>
            <w:tcBorders>
              <w:top w:val="nil"/>
              <w:bottom w:val="single" w:sz="18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Severa</w:t>
            </w:r>
          </w:p>
        </w:tc>
        <w:tc>
          <w:tcPr>
            <w:tcW w:w="1323" w:type="dxa"/>
            <w:tcBorders>
              <w:top w:val="nil"/>
              <w:bottom w:val="single" w:sz="18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523,72</w:t>
            </w:r>
          </w:p>
        </w:tc>
        <w:tc>
          <w:tcPr>
            <w:tcW w:w="1463" w:type="dxa"/>
            <w:tcBorders>
              <w:top w:val="nil"/>
              <w:bottom w:val="single" w:sz="18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273,95</w:t>
            </w:r>
          </w:p>
        </w:tc>
        <w:tc>
          <w:tcPr>
            <w:tcW w:w="1323" w:type="dxa"/>
            <w:tcBorders>
              <w:top w:val="nil"/>
              <w:bottom w:val="single" w:sz="18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203,35</w:t>
            </w:r>
          </w:p>
        </w:tc>
        <w:tc>
          <w:tcPr>
            <w:tcW w:w="1273" w:type="dxa"/>
            <w:tcBorders>
              <w:top w:val="nil"/>
              <w:bottom w:val="single" w:sz="18" w:space="0" w:color="008000"/>
            </w:tcBorders>
            <w:shd w:val="clear" w:color="auto" w:fill="auto"/>
            <w:noWrap/>
          </w:tcPr>
          <w:p w:rsidR="007F1960" w:rsidRPr="00CF50DC" w:rsidRDefault="007F1960" w:rsidP="00CF50DC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50DC">
              <w:rPr>
                <w:rFonts w:ascii="Verdana" w:hAnsi="Verdana" w:cs="Arial"/>
                <w:sz w:val="20"/>
                <w:szCs w:val="20"/>
              </w:rPr>
              <w:t>93,79</w:t>
            </w:r>
          </w:p>
        </w:tc>
      </w:tr>
    </w:tbl>
    <w:p w:rsidR="007F1960" w:rsidRDefault="007F1960" w:rsidP="00CF50DC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CF50DC">
        <w:rPr>
          <w:rFonts w:ascii="Verdana" w:hAnsi="Verdana" w:cs="Arial"/>
          <w:sz w:val="20"/>
          <w:szCs w:val="20"/>
        </w:rPr>
        <w:t xml:space="preserve"> Fuente: Procesamiento estadístico.</w:t>
      </w:r>
    </w:p>
    <w:p w:rsidR="00CF50DC" w:rsidRDefault="00CF50DC" w:rsidP="00CF50DC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</w:p>
    <w:p w:rsidR="00CF50DC" w:rsidRPr="00CF50DC" w:rsidRDefault="00CF50DC" w:rsidP="00CF50DC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38"/>
      </w:tblGrid>
      <w:tr w:rsidR="000545C5" w:rsidRPr="00551E2E" w:rsidTr="000545C5">
        <w:tc>
          <w:tcPr>
            <w:tcW w:w="8838" w:type="dxa"/>
          </w:tcPr>
          <w:p w:rsidR="000545C5" w:rsidRPr="00551E2E" w:rsidRDefault="00CF50DC" w:rsidP="00CF50DC">
            <w:pPr>
              <w:spacing w:before="120" w:after="120" w:line="360" w:lineRule="auto"/>
              <w:rPr>
                <w:rFonts w:ascii="Arial" w:hAnsi="Arial" w:cs="Arial"/>
                <w:b/>
                <w:caps/>
              </w:rPr>
            </w:pPr>
            <w:r w:rsidRPr="000545C5">
              <w:rPr>
                <w:rFonts w:ascii="Verdana" w:hAnsi="Verdana" w:cs="Arial"/>
                <w:b/>
                <w:sz w:val="20"/>
                <w:szCs w:val="20"/>
              </w:rPr>
              <w:t xml:space="preserve">Gráfico </w:t>
            </w:r>
            <w:r>
              <w:rPr>
                <w:rFonts w:ascii="Verdana" w:hAnsi="Verdana" w:cs="Arial"/>
                <w:b/>
                <w:caps/>
                <w:sz w:val="20"/>
                <w:szCs w:val="20"/>
              </w:rPr>
              <w:t xml:space="preserve">1. </w:t>
            </w:r>
            <w:r w:rsidRPr="000545C5">
              <w:rPr>
                <w:rFonts w:ascii="Verdana" w:hAnsi="Verdana" w:cs="Arial"/>
                <w:b/>
                <w:sz w:val="20"/>
                <w:szCs w:val="20"/>
              </w:rPr>
              <w:t>Altura del epitelio de la mucosa bucal según clasificación de la displasia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.</w:t>
            </w:r>
            <w:r w:rsidR="000545C5" w:rsidRPr="00551E2E">
              <w:rPr>
                <w:rFonts w:ascii="Arial" w:hAnsi="Arial" w:cs="Arial"/>
                <w:noProof/>
              </w:rPr>
              <w:drawing>
                <wp:inline distT="0" distB="0" distL="0" distR="0" wp14:anchorId="28566223" wp14:editId="14FF9329">
                  <wp:extent cx="5341620" cy="2708275"/>
                  <wp:effectExtent l="0" t="0" r="11430" b="15875"/>
                  <wp:docPr id="6" name="Gráfico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</w:tr>
    </w:tbl>
    <w:p w:rsidR="000545C5" w:rsidRPr="000545C5" w:rsidRDefault="000545C5" w:rsidP="000545C5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0545C5">
        <w:rPr>
          <w:rFonts w:ascii="Verdana" w:hAnsi="Verdana" w:cs="Arial"/>
          <w:sz w:val="20"/>
          <w:szCs w:val="20"/>
        </w:rPr>
        <w:t>Fuente: Procesamiento estadístico.</w:t>
      </w:r>
    </w:p>
    <w:p w:rsidR="00CF50DC" w:rsidRDefault="00CF50DC" w:rsidP="00347927">
      <w:pPr>
        <w:spacing w:before="120" w:after="120" w:line="360" w:lineRule="auto"/>
        <w:jc w:val="both"/>
        <w:rPr>
          <w:rFonts w:ascii="Verdana" w:hAnsi="Verdana" w:cs="Arial"/>
          <w:b/>
          <w:sz w:val="20"/>
          <w:szCs w:val="20"/>
        </w:rPr>
      </w:pPr>
    </w:p>
    <w:p w:rsidR="00347927" w:rsidRPr="00347927" w:rsidRDefault="00CF50DC" w:rsidP="00347927">
      <w:pPr>
        <w:spacing w:before="120" w:after="120" w:line="360" w:lineRule="auto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Cuadro 2</w:t>
      </w:r>
      <w:r w:rsidR="00347927" w:rsidRPr="00347927">
        <w:rPr>
          <w:rFonts w:ascii="Verdana" w:hAnsi="Verdana" w:cs="Arial"/>
          <w:b/>
          <w:sz w:val="20"/>
          <w:szCs w:val="20"/>
        </w:rPr>
        <w:t>. Factor de forma de las células del estrato espinoso del epitelio de la mucosa bucal  según clasificación de la displasia.</w:t>
      </w:r>
    </w:p>
    <w:tbl>
      <w:tblPr>
        <w:tblW w:w="7754" w:type="dxa"/>
        <w:jc w:val="center"/>
        <w:tblBorders>
          <w:top w:val="single" w:sz="12" w:space="0" w:color="008000"/>
          <w:bottom w:val="single" w:sz="12" w:space="0" w:color="008000"/>
        </w:tblBorders>
        <w:tblLook w:val="0020" w:firstRow="1" w:lastRow="0" w:firstColumn="0" w:lastColumn="0" w:noHBand="0" w:noVBand="0"/>
      </w:tblPr>
      <w:tblGrid>
        <w:gridCol w:w="2413"/>
        <w:gridCol w:w="2461"/>
        <w:gridCol w:w="2880"/>
      </w:tblGrid>
      <w:tr w:rsidR="00347927" w:rsidRPr="00347927" w:rsidTr="006A1A28">
        <w:trPr>
          <w:trHeight w:val="697"/>
          <w:jc w:val="center"/>
        </w:trPr>
        <w:tc>
          <w:tcPr>
            <w:tcW w:w="2413" w:type="dxa"/>
            <w:tcBorders>
              <w:bottom w:val="single" w:sz="6" w:space="0" w:color="008000"/>
            </w:tcBorders>
            <w:shd w:val="clear" w:color="auto" w:fill="auto"/>
            <w:noWrap/>
          </w:tcPr>
          <w:p w:rsidR="00347927" w:rsidRPr="00347927" w:rsidRDefault="00347927" w:rsidP="00347927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47927">
              <w:rPr>
                <w:rFonts w:ascii="Verdana" w:hAnsi="Verdana" w:cs="Arial"/>
                <w:b/>
                <w:sz w:val="20"/>
                <w:szCs w:val="20"/>
              </w:rPr>
              <w:t>Intensidad de la lesión</w:t>
            </w:r>
          </w:p>
        </w:tc>
        <w:tc>
          <w:tcPr>
            <w:tcW w:w="2461" w:type="dxa"/>
            <w:tcBorders>
              <w:bottom w:val="single" w:sz="6" w:space="0" w:color="008000"/>
            </w:tcBorders>
            <w:shd w:val="clear" w:color="auto" w:fill="auto"/>
            <w:noWrap/>
          </w:tcPr>
          <w:p w:rsidR="00347927" w:rsidRPr="00347927" w:rsidRDefault="00347927" w:rsidP="00347927">
            <w:pPr>
              <w:spacing w:before="120" w:after="12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347927">
              <w:rPr>
                <w:rFonts w:ascii="Verdana" w:hAnsi="Verdana" w:cs="Arial"/>
                <w:b/>
                <w:sz w:val="20"/>
                <w:szCs w:val="20"/>
              </w:rPr>
              <w:t>Promedio</w:t>
            </w:r>
          </w:p>
        </w:tc>
        <w:tc>
          <w:tcPr>
            <w:tcW w:w="2880" w:type="dxa"/>
            <w:tcBorders>
              <w:bottom w:val="single" w:sz="6" w:space="0" w:color="008000"/>
            </w:tcBorders>
            <w:shd w:val="clear" w:color="auto" w:fill="auto"/>
          </w:tcPr>
          <w:p w:rsidR="00347927" w:rsidRPr="00347927" w:rsidRDefault="00347927" w:rsidP="00347927">
            <w:pPr>
              <w:spacing w:before="120" w:after="12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347927">
              <w:rPr>
                <w:rFonts w:ascii="Verdana" w:hAnsi="Verdana" w:cs="Arial"/>
                <w:b/>
                <w:sz w:val="20"/>
                <w:szCs w:val="20"/>
              </w:rPr>
              <w:t>Desviación estándar</w:t>
            </w:r>
          </w:p>
        </w:tc>
      </w:tr>
      <w:tr w:rsidR="00347927" w:rsidRPr="00347927" w:rsidTr="006A1A28">
        <w:trPr>
          <w:trHeight w:val="165"/>
          <w:jc w:val="center"/>
        </w:trPr>
        <w:tc>
          <w:tcPr>
            <w:tcW w:w="2413" w:type="dxa"/>
            <w:shd w:val="clear" w:color="auto" w:fill="auto"/>
            <w:noWrap/>
          </w:tcPr>
          <w:p w:rsidR="00347927" w:rsidRPr="00347927" w:rsidRDefault="00347927" w:rsidP="00347927">
            <w:pPr>
              <w:spacing w:before="120" w:after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47927">
              <w:rPr>
                <w:rFonts w:ascii="Verdana" w:hAnsi="Verdana" w:cs="Arial"/>
                <w:sz w:val="20"/>
                <w:szCs w:val="20"/>
              </w:rPr>
              <w:t>Ligera</w:t>
            </w:r>
          </w:p>
        </w:tc>
        <w:tc>
          <w:tcPr>
            <w:tcW w:w="2461" w:type="dxa"/>
            <w:shd w:val="clear" w:color="auto" w:fill="auto"/>
            <w:noWrap/>
          </w:tcPr>
          <w:p w:rsidR="00347927" w:rsidRPr="00347927" w:rsidRDefault="00347927" w:rsidP="00347927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47927">
              <w:rPr>
                <w:rFonts w:ascii="Verdana" w:hAnsi="Verdana" w:cs="Arial"/>
                <w:sz w:val="20"/>
                <w:szCs w:val="20"/>
              </w:rPr>
              <w:t>0,86</w:t>
            </w:r>
          </w:p>
        </w:tc>
        <w:tc>
          <w:tcPr>
            <w:tcW w:w="2880" w:type="dxa"/>
            <w:shd w:val="clear" w:color="auto" w:fill="auto"/>
            <w:noWrap/>
          </w:tcPr>
          <w:p w:rsidR="00347927" w:rsidRPr="00347927" w:rsidRDefault="00347927" w:rsidP="00347927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47927">
              <w:rPr>
                <w:rFonts w:ascii="Verdana" w:hAnsi="Verdana" w:cs="Arial"/>
                <w:sz w:val="20"/>
                <w:szCs w:val="20"/>
              </w:rPr>
              <w:t>0,08</w:t>
            </w:r>
          </w:p>
        </w:tc>
      </w:tr>
      <w:tr w:rsidR="00347927" w:rsidRPr="00347927" w:rsidTr="006A1A28">
        <w:trPr>
          <w:trHeight w:val="165"/>
          <w:jc w:val="center"/>
        </w:trPr>
        <w:tc>
          <w:tcPr>
            <w:tcW w:w="2413" w:type="dxa"/>
            <w:shd w:val="clear" w:color="auto" w:fill="auto"/>
            <w:noWrap/>
          </w:tcPr>
          <w:p w:rsidR="00347927" w:rsidRPr="00347927" w:rsidRDefault="00347927" w:rsidP="00347927">
            <w:pPr>
              <w:spacing w:before="120" w:after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47927">
              <w:rPr>
                <w:rFonts w:ascii="Verdana" w:hAnsi="Verdana" w:cs="Arial"/>
                <w:sz w:val="20"/>
                <w:szCs w:val="20"/>
              </w:rPr>
              <w:t>Moderada</w:t>
            </w:r>
          </w:p>
        </w:tc>
        <w:tc>
          <w:tcPr>
            <w:tcW w:w="2461" w:type="dxa"/>
            <w:shd w:val="clear" w:color="auto" w:fill="auto"/>
            <w:noWrap/>
          </w:tcPr>
          <w:p w:rsidR="00347927" w:rsidRPr="00347927" w:rsidRDefault="00347927" w:rsidP="00347927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47927">
              <w:rPr>
                <w:rFonts w:ascii="Verdana" w:hAnsi="Verdana" w:cs="Arial"/>
                <w:sz w:val="20"/>
                <w:szCs w:val="20"/>
              </w:rPr>
              <w:t>0,88</w:t>
            </w:r>
          </w:p>
        </w:tc>
        <w:tc>
          <w:tcPr>
            <w:tcW w:w="2880" w:type="dxa"/>
            <w:shd w:val="clear" w:color="auto" w:fill="auto"/>
            <w:noWrap/>
          </w:tcPr>
          <w:p w:rsidR="00347927" w:rsidRPr="00347927" w:rsidRDefault="00347927" w:rsidP="00347927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47927">
              <w:rPr>
                <w:rFonts w:ascii="Verdana" w:hAnsi="Verdana" w:cs="Arial"/>
                <w:sz w:val="20"/>
                <w:szCs w:val="20"/>
              </w:rPr>
              <w:t>0,09</w:t>
            </w:r>
          </w:p>
        </w:tc>
      </w:tr>
      <w:tr w:rsidR="00347927" w:rsidRPr="00347927" w:rsidTr="006A1A28">
        <w:trPr>
          <w:trHeight w:val="165"/>
          <w:jc w:val="center"/>
        </w:trPr>
        <w:tc>
          <w:tcPr>
            <w:tcW w:w="2413" w:type="dxa"/>
            <w:shd w:val="clear" w:color="auto" w:fill="auto"/>
            <w:noWrap/>
          </w:tcPr>
          <w:p w:rsidR="00347927" w:rsidRPr="00347927" w:rsidRDefault="00347927" w:rsidP="00347927">
            <w:pPr>
              <w:spacing w:before="120" w:after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47927">
              <w:rPr>
                <w:rFonts w:ascii="Verdana" w:hAnsi="Verdana" w:cs="Arial"/>
                <w:sz w:val="20"/>
                <w:szCs w:val="20"/>
              </w:rPr>
              <w:t>Severa</w:t>
            </w:r>
          </w:p>
        </w:tc>
        <w:tc>
          <w:tcPr>
            <w:tcW w:w="2461" w:type="dxa"/>
            <w:shd w:val="clear" w:color="auto" w:fill="auto"/>
            <w:noWrap/>
          </w:tcPr>
          <w:p w:rsidR="00347927" w:rsidRPr="00347927" w:rsidRDefault="00347927" w:rsidP="00347927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47927">
              <w:rPr>
                <w:rFonts w:ascii="Verdana" w:hAnsi="Verdana" w:cs="Arial"/>
                <w:sz w:val="20"/>
                <w:szCs w:val="20"/>
              </w:rPr>
              <w:t>0,85</w:t>
            </w:r>
          </w:p>
        </w:tc>
        <w:tc>
          <w:tcPr>
            <w:tcW w:w="2880" w:type="dxa"/>
            <w:shd w:val="clear" w:color="auto" w:fill="auto"/>
            <w:noWrap/>
          </w:tcPr>
          <w:p w:rsidR="00347927" w:rsidRPr="00347927" w:rsidRDefault="00347927" w:rsidP="00347927">
            <w:pPr>
              <w:spacing w:before="120" w:after="12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47927">
              <w:rPr>
                <w:rFonts w:ascii="Verdana" w:hAnsi="Verdana" w:cs="Arial"/>
                <w:sz w:val="20"/>
                <w:szCs w:val="20"/>
              </w:rPr>
              <w:t>0,11</w:t>
            </w:r>
          </w:p>
        </w:tc>
      </w:tr>
    </w:tbl>
    <w:p w:rsidR="00347927" w:rsidRPr="00347927" w:rsidRDefault="00347927" w:rsidP="00347927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347927">
        <w:rPr>
          <w:rFonts w:ascii="Verdana" w:hAnsi="Verdana" w:cs="Arial"/>
          <w:sz w:val="20"/>
          <w:szCs w:val="20"/>
        </w:rPr>
        <w:t>Fuente: Procesamiento estadístico.</w:t>
      </w:r>
    </w:p>
    <w:p w:rsidR="00347927" w:rsidRDefault="00347927" w:rsidP="00347927"/>
    <w:p w:rsidR="00A70B84" w:rsidRPr="00347927" w:rsidRDefault="00CF50DC" w:rsidP="00CF50DC">
      <w:pPr>
        <w:spacing w:before="120" w:after="120" w:line="360" w:lineRule="auto"/>
        <w:rPr>
          <w:rFonts w:ascii="Verdana" w:hAnsi="Verdana" w:cs="Arial"/>
          <w:b/>
          <w:caps/>
          <w:sz w:val="20"/>
          <w:szCs w:val="20"/>
        </w:rPr>
      </w:pPr>
      <w:r w:rsidRPr="00347927">
        <w:rPr>
          <w:rFonts w:ascii="Verdana" w:hAnsi="Verdana" w:cs="Arial"/>
          <w:b/>
          <w:sz w:val="20"/>
          <w:szCs w:val="20"/>
        </w:rPr>
        <w:t>Gráfico 3</w:t>
      </w:r>
      <w:r>
        <w:rPr>
          <w:rFonts w:ascii="Verdana" w:hAnsi="Verdana" w:cs="Arial"/>
          <w:b/>
          <w:sz w:val="20"/>
          <w:szCs w:val="20"/>
        </w:rPr>
        <w:t xml:space="preserve">. </w:t>
      </w:r>
      <w:r w:rsidRPr="00347927">
        <w:rPr>
          <w:rFonts w:ascii="Verdana" w:hAnsi="Verdana" w:cs="Arial"/>
          <w:b/>
          <w:sz w:val="20"/>
          <w:szCs w:val="20"/>
        </w:rPr>
        <w:t>Volumen nuclear de las células de estrato espinoso del epitelio de la mucosa bucal según clasificación de la displasia</w:t>
      </w:r>
      <w:r>
        <w:rPr>
          <w:rFonts w:ascii="Verdana" w:hAnsi="Verdana" w:cs="Arial"/>
          <w:b/>
          <w:sz w:val="20"/>
          <w:szCs w:val="20"/>
        </w:rPr>
        <w:t>.</w:t>
      </w:r>
    </w:p>
    <w:tbl>
      <w:tblPr>
        <w:tblpPr w:leftFromText="141" w:rightFromText="141" w:vertAnchor="text" w:horzAnchor="margin" w:tblpY="93"/>
        <w:tblW w:w="0" w:type="auto"/>
        <w:tblLook w:val="04A0" w:firstRow="1" w:lastRow="0" w:firstColumn="1" w:lastColumn="0" w:noHBand="0" w:noVBand="1"/>
      </w:tblPr>
      <w:tblGrid>
        <w:gridCol w:w="8838"/>
      </w:tblGrid>
      <w:tr w:rsidR="00A70B84" w:rsidRPr="00551E2E" w:rsidTr="00A70B84">
        <w:tc>
          <w:tcPr>
            <w:tcW w:w="8838" w:type="dxa"/>
          </w:tcPr>
          <w:p w:rsidR="00A70B84" w:rsidRDefault="00A70B84" w:rsidP="00710147">
            <w:pPr>
              <w:tabs>
                <w:tab w:val="left" w:pos="1065"/>
              </w:tabs>
              <w:spacing w:before="120" w:after="120" w:line="480" w:lineRule="auto"/>
              <w:jc w:val="center"/>
            </w:pPr>
            <w:r w:rsidRPr="00551E2E">
              <w:rPr>
                <w:noProof/>
              </w:rPr>
              <w:drawing>
                <wp:inline distT="0" distB="0" distL="0" distR="0">
                  <wp:extent cx="4951730" cy="3021965"/>
                  <wp:effectExtent l="0" t="0" r="1270" b="6985"/>
                  <wp:docPr id="4" name="Gráfic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 w:rsidR="00347927" w:rsidRPr="00347927" w:rsidRDefault="00347927" w:rsidP="00347927">
            <w:pPr>
              <w:spacing w:before="120" w:after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47927">
              <w:rPr>
                <w:rFonts w:ascii="Verdana" w:hAnsi="Verdana" w:cs="Arial"/>
                <w:sz w:val="20"/>
                <w:szCs w:val="20"/>
              </w:rPr>
              <w:t>Fuente: Procesamiento estadístico.</w:t>
            </w:r>
          </w:p>
          <w:p w:rsidR="00347927" w:rsidRDefault="00347927" w:rsidP="00347927"/>
          <w:p w:rsidR="00347927" w:rsidRDefault="00347927" w:rsidP="00347927">
            <w:pPr>
              <w:tabs>
                <w:tab w:val="left" w:pos="1065"/>
              </w:tabs>
              <w:spacing w:before="120" w:after="120" w:line="480" w:lineRule="auto"/>
            </w:pPr>
          </w:p>
          <w:p w:rsidR="00FE2A31" w:rsidRDefault="00FE2A31" w:rsidP="00CF50DC">
            <w:pPr>
              <w:spacing w:before="120" w:after="120"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347927" w:rsidRPr="00CF50DC" w:rsidRDefault="00CF50DC" w:rsidP="00CF50DC">
            <w:pPr>
              <w:spacing w:before="120" w:after="120" w:line="360" w:lineRule="auto"/>
              <w:rPr>
                <w:rFonts w:ascii="Verdana" w:hAnsi="Verdana" w:cs="Arial"/>
                <w:b/>
                <w:caps/>
                <w:sz w:val="20"/>
                <w:szCs w:val="20"/>
              </w:rPr>
            </w:pPr>
            <w:bookmarkStart w:id="0" w:name="_GoBack"/>
            <w:bookmarkEnd w:id="0"/>
            <w:r w:rsidRPr="00347927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Gráfico 4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. Perfiles nucleares de las células epiteliales de la mucosa bucal según clasificación de la displasia. 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8838"/>
      </w:tblGrid>
      <w:tr w:rsidR="00A70B84" w:rsidRPr="00551E2E" w:rsidTr="00347927">
        <w:tc>
          <w:tcPr>
            <w:tcW w:w="8838" w:type="dxa"/>
          </w:tcPr>
          <w:p w:rsidR="00A70B84" w:rsidRPr="00551E2E" w:rsidRDefault="00A70B84" w:rsidP="00710147">
            <w:pPr>
              <w:spacing w:before="120" w:after="120" w:line="480" w:lineRule="auto"/>
              <w:jc w:val="center"/>
              <w:rPr>
                <w:rFonts w:ascii="Arial" w:hAnsi="Arial" w:cs="Arial"/>
                <w:b/>
                <w:caps/>
              </w:rPr>
            </w:pPr>
            <w:r w:rsidRPr="00551E2E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5266055" cy="3088640"/>
                  <wp:effectExtent l="0" t="0" r="10795" b="16510"/>
                  <wp:docPr id="5" name="Gráfico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</w:tbl>
    <w:p w:rsidR="00A70B84" w:rsidRPr="00347927" w:rsidRDefault="00A70B84" w:rsidP="00A70B84">
      <w:pPr>
        <w:tabs>
          <w:tab w:val="left" w:pos="270"/>
        </w:tabs>
        <w:spacing w:before="120" w:after="120" w:line="480" w:lineRule="auto"/>
        <w:rPr>
          <w:rFonts w:ascii="Verdana" w:hAnsi="Verdana" w:cs="Arial"/>
          <w:sz w:val="20"/>
          <w:szCs w:val="20"/>
        </w:rPr>
      </w:pPr>
      <w:r w:rsidRPr="00347927">
        <w:rPr>
          <w:rFonts w:ascii="Verdana" w:hAnsi="Verdana" w:cs="Arial"/>
          <w:sz w:val="20"/>
          <w:szCs w:val="20"/>
        </w:rPr>
        <w:t>Fuente: Procesamiento estadístico.</w:t>
      </w:r>
    </w:p>
    <w:p w:rsidR="00C2692C" w:rsidRDefault="00C2692C"/>
    <w:sectPr w:rsidR="00C269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960"/>
    <w:rsid w:val="000545C5"/>
    <w:rsid w:val="00347927"/>
    <w:rsid w:val="00570B44"/>
    <w:rsid w:val="00625A04"/>
    <w:rsid w:val="007F1960"/>
    <w:rsid w:val="00936417"/>
    <w:rsid w:val="0094463A"/>
    <w:rsid w:val="00A70B84"/>
    <w:rsid w:val="00C2692C"/>
    <w:rsid w:val="00C50ADF"/>
    <w:rsid w:val="00CF50DC"/>
    <w:rsid w:val="00D0722D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2A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A31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2A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A31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Libro2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Libro2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Libro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cked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Altura epitelial (µm)</c:v>
                </c:pt>
              </c:strCache>
            </c:strRef>
          </c:tx>
          <c:spPr>
            <a:ln cap="rnd">
              <a:solidFill>
                <a:srgbClr val="0070C0"/>
              </a:solidFill>
              <a:round/>
            </a:ln>
          </c:spPr>
          <c:marker>
            <c:spPr>
              <a:ln>
                <a:solidFill>
                  <a:srgbClr val="0070C0"/>
                </a:solidFill>
                <a:headEnd type="oval"/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Hoja1!$A$2:$A$4</c:f>
              <c:strCache>
                <c:ptCount val="3"/>
                <c:pt idx="0">
                  <c:v>Ligera</c:v>
                </c:pt>
                <c:pt idx="1">
                  <c:v>Moderada</c:v>
                </c:pt>
                <c:pt idx="2">
                  <c:v>Severa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245.38</c:v>
                </c:pt>
                <c:pt idx="1">
                  <c:v>419.69</c:v>
                </c:pt>
                <c:pt idx="2">
                  <c:v>748.44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639232"/>
        <c:axId val="94641152"/>
      </c:lineChart>
      <c:catAx>
        <c:axId val="946392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Grado de la displasia epitelial</a:t>
                </a:r>
              </a:p>
            </c:rich>
          </c:tx>
          <c:layout/>
          <c:overlay val="0"/>
        </c:title>
        <c:numFmt formatCode="General" sourceLinked="0"/>
        <c:majorTickMark val="out"/>
        <c:minorTickMark val="cross"/>
        <c:tickLblPos val="nextTo"/>
        <c:crossAx val="94641152"/>
        <c:crosses val="autoZero"/>
        <c:auto val="1"/>
        <c:lblAlgn val="ctr"/>
        <c:lblOffset val="100"/>
        <c:noMultiLvlLbl val="1"/>
      </c:catAx>
      <c:valAx>
        <c:axId val="9464115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_tradnl" sz="1000" b="1" i="0" baseline="0">
                    <a:effectLst/>
                  </a:rPr>
                  <a:t>Longitud (</a:t>
                </a:r>
                <a:r>
                  <a:rPr lang="es-ES" sz="1000" b="1" i="0" baseline="0">
                    <a:effectLst/>
                  </a:rPr>
                  <a:t>µm)</a:t>
                </a:r>
                <a:endParaRPr lang="es-MX" sz="1000">
                  <a:effectLst/>
                </a:endParaRPr>
              </a:p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rich>
          </c:tx>
          <c:layout/>
          <c:overlay val="0"/>
        </c:title>
        <c:numFmt formatCode="General" sourceLinked="1"/>
        <c:majorTickMark val="out"/>
        <c:minorTickMark val="cross"/>
        <c:tickLblPos val="nextTo"/>
        <c:crossAx val="94639232"/>
        <c:crosses val="autoZero"/>
        <c:crossBetween val="between"/>
      </c:valAx>
    </c:plotArea>
    <c:plotVisOnly val="1"/>
    <c:dispBlanksAs val="zero"/>
    <c:showDLblsOverMax val="1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roundedCorners val="1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lineChart>
        <c:grouping val="stacked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Volumen nuclear (µm³)</c:v>
                </c:pt>
              </c:strCache>
            </c:strRef>
          </c:tx>
          <c:dPt>
            <c:idx val="0"/>
            <c:bubble3D val="0"/>
            <c:spPr>
              <a:ln w="19050" cap="rnd" cmpd="sng" algn="ctr">
                <a:solidFill>
                  <a:schemeClr val="accent5">
                    <a:tint val="65000"/>
                  </a:schemeClr>
                </a:solidFill>
                <a:prstDash val="solid"/>
                <a:round/>
              </a:ln>
              <a:effectLst/>
            </c:spPr>
          </c:dPt>
          <c:dPt>
            <c:idx val="1"/>
            <c:bubble3D val="0"/>
            <c:spPr>
              <a:ln w="19050" cap="rnd" cmpd="sng" algn="ctr">
                <a:solidFill>
                  <a:schemeClr val="accent5"/>
                </a:solidFill>
                <a:prstDash val="solid"/>
                <a:round/>
              </a:ln>
              <a:effectLst/>
            </c:spPr>
          </c:dPt>
          <c:dPt>
            <c:idx val="2"/>
            <c:bubble3D val="0"/>
            <c:spPr>
              <a:ln w="19050" cap="rnd" cmpd="sng" algn="ctr">
                <a:solidFill>
                  <a:schemeClr val="accent5">
                    <a:shade val="65000"/>
                  </a:schemeClr>
                </a:solidFill>
                <a:prstDash val="solid"/>
                <a:round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solidFill>
                        <a:schemeClr val="tx1"/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Hoja1!$A$2:$A$4</c:f>
              <c:strCache>
                <c:ptCount val="3"/>
                <c:pt idx="0">
                  <c:v>Ligera</c:v>
                </c:pt>
                <c:pt idx="1">
                  <c:v>Moderada</c:v>
                </c:pt>
                <c:pt idx="2">
                  <c:v>Severa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237</c:v>
                </c:pt>
                <c:pt idx="1">
                  <c:v>158</c:v>
                </c:pt>
                <c:pt idx="2">
                  <c:v>117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upDownBars>
          <c:gapWidth val="150"/>
          <c:upBars>
            <c:spPr>
              <a:solidFill>
                <a:schemeClr val="dk1">
                  <a:tint val="5000"/>
                </a:schemeClr>
              </a:solidFill>
              <a:ln w="6350" cap="flat" cmpd="sng" algn="ctr">
                <a:solidFill>
                  <a:schemeClr val="tx1"/>
                </a:solidFill>
                <a:prstDash val="solid"/>
                <a:round/>
              </a:ln>
              <a:effectLst/>
            </c:spPr>
          </c:upBars>
          <c:downBars>
            <c:spPr>
              <a:solidFill>
                <a:schemeClr val="dk1">
                  <a:tint val="95000"/>
                </a:schemeClr>
              </a:solidFill>
              <a:ln w="6350" cap="flat" cmpd="sng" algn="ctr">
                <a:solidFill>
                  <a:schemeClr val="tx1"/>
                </a:solidFill>
                <a:prstDash val="solid"/>
                <a:round/>
              </a:ln>
              <a:effectLst/>
            </c:spPr>
          </c:downBars>
        </c:upDownBars>
        <c:marker val="1"/>
        <c:smooth val="0"/>
        <c:axId val="94694784"/>
        <c:axId val="127931904"/>
      </c:lineChart>
      <c:catAx>
        <c:axId val="946947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 sz="1000" b="1" i="0" baseline="0">
                    <a:effectLst/>
                  </a:rPr>
                  <a:t>Grado de la displasia epitelial</a:t>
                </a:r>
                <a:endParaRPr lang="es-MX" sz="1000">
                  <a:effectLst/>
                </a:endParaRPr>
              </a:p>
            </c:rich>
          </c:tx>
          <c:layout>
            <c:manualLayout>
              <c:xMode val="edge"/>
              <c:yMode val="edge"/>
              <c:x val="0.33343902030199546"/>
              <c:y val="0.9067871401554948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out"/>
        <c:minorTickMark val="cross"/>
        <c:tickLblPos val="nextTo"/>
        <c:spPr>
          <a:noFill/>
          <a:ln w="6350" cap="flat" cmpd="sng" algn="ctr">
            <a:solidFill>
              <a:schemeClr val="tx1"/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27931904"/>
        <c:crosses val="autoZero"/>
        <c:auto val="1"/>
        <c:lblAlgn val="ctr"/>
        <c:lblOffset val="100"/>
        <c:noMultiLvlLbl val="1"/>
      </c:catAx>
      <c:valAx>
        <c:axId val="127931904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tx1"/>
              </a:solidFill>
              <a:prstDash val="solid"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_tradnl" sz="1000" b="1" i="0" baseline="0">
                    <a:effectLst/>
                  </a:rPr>
                  <a:t>Volumen nuclear (</a:t>
                </a:r>
                <a:r>
                  <a:rPr lang="es-ES" sz="1000" b="1" i="0" baseline="0">
                    <a:effectLst/>
                  </a:rPr>
                  <a:t>µm</a:t>
                </a:r>
                <a:r>
                  <a:rPr lang="es-ES" sz="1000" b="1" i="0" baseline="30000">
                    <a:effectLst/>
                  </a:rPr>
                  <a:t>3</a:t>
                </a:r>
                <a:r>
                  <a:rPr lang="es-ES" sz="1000" b="1" i="0" baseline="0">
                    <a:effectLst/>
                  </a:rPr>
                  <a:t>)</a:t>
                </a:r>
                <a:endParaRPr lang="es-MX" sz="1000">
                  <a:effectLst/>
                </a:endParaRPr>
              </a:p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cross"/>
        <c:tickLblPos val="nextTo"/>
        <c:spPr>
          <a:noFill/>
          <a:ln w="6350" cap="flat" cmpd="sng" algn="ctr">
            <a:solidFill>
              <a:schemeClr val="tx1"/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94694784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zero"/>
    <c:showDLblsOverMax val="1"/>
  </c:chart>
  <c:spPr>
    <a:solidFill>
      <a:schemeClr val="bg1"/>
    </a:solidFill>
    <a:ln w="6350" cap="flat" cmpd="sng" algn="ctr">
      <a:solidFill>
        <a:schemeClr val="tx1">
          <a:tint val="75000"/>
        </a:schemeClr>
      </a:solidFill>
      <a:prstDash val="solid"/>
      <a:round/>
    </a:ln>
    <a:effectLst/>
  </c:spPr>
  <c:txPr>
    <a:bodyPr/>
    <a:lstStyle/>
    <a:p>
      <a:pPr>
        <a:defRPr/>
      </a:pPr>
      <a:endParaRPr lang="es-ES"/>
    </a:p>
  </c:txPr>
  <c:externalData r:id="rId1">
    <c:autoUpdate val="1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roundedCorners val="1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lineChart>
        <c:grouping val="stacked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Perfiles nucleares</c:v>
                </c:pt>
              </c:strCache>
            </c:strRef>
          </c:tx>
          <c:dPt>
            <c:idx val="0"/>
            <c:bubble3D val="0"/>
            <c:spPr>
              <a:ln w="19050" cap="rnd" cmpd="sng" algn="ctr">
                <a:solidFill>
                  <a:schemeClr val="accent5">
                    <a:tint val="65000"/>
                  </a:schemeClr>
                </a:solidFill>
                <a:prstDash val="solid"/>
                <a:round/>
              </a:ln>
              <a:effectLst/>
            </c:spPr>
          </c:dPt>
          <c:dPt>
            <c:idx val="1"/>
            <c:bubble3D val="0"/>
            <c:spPr>
              <a:ln w="19050" cap="rnd" cmpd="sng" algn="ctr">
                <a:solidFill>
                  <a:schemeClr val="accent5"/>
                </a:solidFill>
                <a:prstDash val="solid"/>
                <a:round/>
              </a:ln>
              <a:effectLst/>
            </c:spPr>
          </c:dPt>
          <c:dPt>
            <c:idx val="2"/>
            <c:bubble3D val="0"/>
            <c:spPr>
              <a:ln w="19050" cap="rnd" cmpd="sng" algn="ctr">
                <a:solidFill>
                  <a:schemeClr val="accent5">
                    <a:shade val="65000"/>
                  </a:schemeClr>
                </a:solidFill>
                <a:prstDash val="solid"/>
                <a:round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solidFill>
                        <a:schemeClr val="tx1"/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Hoja1!$A$2:$A$4</c:f>
              <c:strCache>
                <c:ptCount val="3"/>
                <c:pt idx="0">
                  <c:v>Ligera</c:v>
                </c:pt>
                <c:pt idx="1">
                  <c:v>Moderada</c:v>
                </c:pt>
                <c:pt idx="2">
                  <c:v>Severa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9.5399999999999991</c:v>
                </c:pt>
                <c:pt idx="1">
                  <c:v>5.61</c:v>
                </c:pt>
                <c:pt idx="2">
                  <c:v>4.16</c:v>
                </c:pt>
              </c:numCache>
            </c:numRef>
          </c:val>
          <c:smooth val="1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7955328"/>
        <c:axId val="127972096"/>
      </c:lineChart>
      <c:catAx>
        <c:axId val="1279553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 sz="1000" b="1" i="0" baseline="0">
                    <a:effectLst/>
                  </a:rPr>
                  <a:t>Grado de la displasia epitelial</a:t>
                </a:r>
                <a:endParaRPr lang="es-MX" sz="1000">
                  <a:effectLst/>
                </a:endParaRPr>
              </a:p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MX" sz="100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out"/>
        <c:minorTickMark val="cross"/>
        <c:tickLblPos val="nextTo"/>
        <c:spPr>
          <a:noFill/>
          <a:ln w="6350" cap="flat" cmpd="sng" algn="ctr">
            <a:solidFill>
              <a:schemeClr val="tx1"/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27972096"/>
        <c:crosses val="autoZero"/>
        <c:auto val="1"/>
        <c:lblAlgn val="ctr"/>
        <c:lblOffset val="100"/>
        <c:noMultiLvlLbl val="1"/>
      </c:catAx>
      <c:valAx>
        <c:axId val="127972096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tx1"/>
              </a:solidFill>
              <a:prstDash val="solid"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Perfiles nucleares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cross"/>
        <c:tickLblPos val="nextTo"/>
        <c:spPr>
          <a:noFill/>
          <a:ln w="6350" cap="flat" cmpd="sng" algn="ctr">
            <a:solidFill>
              <a:schemeClr val="tx1"/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2795532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zero"/>
    <c:showDLblsOverMax val="1"/>
  </c:chart>
  <c:spPr>
    <a:solidFill>
      <a:schemeClr val="bg1"/>
    </a:solidFill>
    <a:ln w="6350" cap="flat" cmpd="sng" algn="ctr">
      <a:solidFill>
        <a:schemeClr val="tx1">
          <a:tint val="75000"/>
        </a:schemeClr>
      </a:solidFill>
      <a:prstDash val="solid"/>
      <a:round/>
    </a:ln>
    <a:effectLst/>
  </c:spPr>
  <c:txPr>
    <a:bodyPr/>
    <a:lstStyle/>
    <a:p>
      <a:pPr>
        <a:defRPr/>
      </a:pPr>
      <a:endParaRPr lang="es-ES"/>
    </a:p>
  </c:txPr>
  <c:externalData r:id="rId1">
    <c:autoUpdate val="1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Lepzimilet</dc:creator>
  <cp:keywords/>
  <dc:description/>
  <cp:lastModifiedBy>usuarios2</cp:lastModifiedBy>
  <cp:revision>7</cp:revision>
  <dcterms:created xsi:type="dcterms:W3CDTF">2014-06-28T04:58:00Z</dcterms:created>
  <dcterms:modified xsi:type="dcterms:W3CDTF">2014-07-01T14:40:00Z</dcterms:modified>
</cp:coreProperties>
</file>